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0B105" w14:textId="42541684" w:rsidR="002F2113" w:rsidRDefault="002F2113">
      <w:pPr>
        <w:spacing w:after="0" w:line="259" w:lineRule="auto"/>
        <w:ind w:left="115" w:right="0"/>
        <w:rPr>
          <w:b/>
          <w:sz w:val="36"/>
        </w:rPr>
      </w:pPr>
      <w:r>
        <w:rPr>
          <w:b/>
          <w:noProof/>
          <w:sz w:val="36"/>
        </w:rPr>
        <w:drawing>
          <wp:inline distT="0" distB="0" distL="0" distR="0" wp14:anchorId="2EF0A56A" wp14:editId="5009B61D">
            <wp:extent cx="1333500" cy="1333500"/>
            <wp:effectExtent l="0" t="0" r="0" b="0"/>
            <wp:docPr id="10321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16884" name="Picture 10321688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6921" cy="1336921"/>
                    </a:xfrm>
                    <a:prstGeom prst="rect">
                      <a:avLst/>
                    </a:prstGeom>
                  </pic:spPr>
                </pic:pic>
              </a:graphicData>
            </a:graphic>
          </wp:inline>
        </w:drawing>
      </w:r>
    </w:p>
    <w:p w14:paraId="4B250F3C" w14:textId="77777777" w:rsidR="002F2113" w:rsidRDefault="002F2113">
      <w:pPr>
        <w:spacing w:after="0" w:line="259" w:lineRule="auto"/>
        <w:ind w:left="115" w:right="0"/>
        <w:rPr>
          <w:b/>
          <w:sz w:val="36"/>
        </w:rPr>
      </w:pPr>
    </w:p>
    <w:p w14:paraId="3B4456BE" w14:textId="77777777" w:rsidR="002F2113" w:rsidRDefault="002F2113">
      <w:pPr>
        <w:spacing w:after="0" w:line="259" w:lineRule="auto"/>
        <w:ind w:left="115" w:right="0"/>
        <w:rPr>
          <w:b/>
          <w:sz w:val="36"/>
        </w:rPr>
      </w:pPr>
    </w:p>
    <w:p w14:paraId="667E4807" w14:textId="67C63DF9" w:rsidR="00753B4B" w:rsidRDefault="002F2113">
      <w:pPr>
        <w:spacing w:after="0" w:line="259" w:lineRule="auto"/>
        <w:ind w:left="115" w:right="0"/>
      </w:pPr>
      <w:r>
        <w:rPr>
          <w:b/>
          <w:sz w:val="36"/>
        </w:rPr>
        <w:t>Wincanton Auctions</w:t>
      </w:r>
    </w:p>
    <w:p w14:paraId="159E1667" w14:textId="77777777" w:rsidR="00753B4B" w:rsidRDefault="002F2113">
      <w:pPr>
        <w:spacing w:after="0" w:line="259" w:lineRule="auto"/>
        <w:ind w:left="115" w:right="0"/>
      </w:pPr>
      <w:r>
        <w:rPr>
          <w:b/>
          <w:sz w:val="36"/>
        </w:rPr>
        <w:t>Buyer’s Fees and Charges Explained</w:t>
      </w:r>
    </w:p>
    <w:p w14:paraId="6CCE296F" w14:textId="77777777" w:rsidR="00753B4B" w:rsidRDefault="002F2113">
      <w:pPr>
        <w:spacing w:after="439"/>
        <w:ind w:left="115" w:right="0"/>
      </w:pPr>
      <w:r>
        <w:rPr>
          <w:color w:val="808080"/>
          <w:sz w:val="18"/>
        </w:rPr>
        <w:t>Date: 9 January 2026</w:t>
      </w:r>
    </w:p>
    <w:p w14:paraId="3C18741F" w14:textId="77777777" w:rsidR="00753B4B" w:rsidRDefault="002F2113">
      <w:pPr>
        <w:pStyle w:val="Heading1"/>
        <w:ind w:left="115"/>
      </w:pPr>
      <w:r>
        <w:t>Purpose</w:t>
      </w:r>
    </w:p>
    <w:p w14:paraId="112B9937" w14:textId="77777777" w:rsidR="00753B4B" w:rsidRDefault="002F2113">
      <w:pPr>
        <w:spacing w:after="488"/>
        <w:ind w:left="115"/>
      </w:pPr>
      <w:r>
        <w:t>This guide explains the most common charges a buyer may pay when purchasing at Wincanton Auctions, and the less common charges that can apply in specific situations.</w:t>
      </w:r>
    </w:p>
    <w:p w14:paraId="50A17F30" w14:textId="77777777" w:rsidR="00753B4B" w:rsidRDefault="002F2113">
      <w:pPr>
        <w:pStyle w:val="Heading1"/>
        <w:ind w:left="115"/>
      </w:pPr>
      <w:r>
        <w:t>The basics (most common charges)</w:t>
      </w:r>
    </w:p>
    <w:p w14:paraId="5E9934B8" w14:textId="77777777" w:rsidR="00753B4B" w:rsidRDefault="002F2113">
      <w:pPr>
        <w:ind w:left="115"/>
      </w:pPr>
      <w:r>
        <w:t>When you successfully buy a lot, you pay:</w:t>
      </w:r>
    </w:p>
    <w:p w14:paraId="36886058" w14:textId="77777777" w:rsidR="00753B4B" w:rsidRDefault="002F2113">
      <w:pPr>
        <w:numPr>
          <w:ilvl w:val="0"/>
          <w:numId w:val="1"/>
        </w:numPr>
        <w:ind w:right="995" w:hanging="132"/>
      </w:pPr>
      <w:r>
        <w:t>The hammer price (your winning bid), plus</w:t>
      </w:r>
    </w:p>
    <w:p w14:paraId="28E4E038" w14:textId="77777777" w:rsidR="00753B4B" w:rsidRDefault="002F2113">
      <w:pPr>
        <w:numPr>
          <w:ilvl w:val="0"/>
          <w:numId w:val="1"/>
        </w:numPr>
        <w:spacing w:after="488"/>
        <w:ind w:right="995" w:hanging="132"/>
      </w:pPr>
      <w:r>
        <w:t xml:space="preserve">A buyer’s premium of 25% of the hammer price, plus VAT at the prevailing </w:t>
      </w:r>
      <w:proofErr w:type="spellStart"/>
      <w:r>
        <w:t>rate.A</w:t>
      </w:r>
      <w:proofErr w:type="spellEnd"/>
      <w:r>
        <w:t xml:space="preserve"> minimum buyer’s premium of £2 plus VAT applies per lot.</w:t>
      </w:r>
    </w:p>
    <w:p w14:paraId="6F7A8C6C" w14:textId="77777777" w:rsidR="00753B4B" w:rsidRDefault="002F2113">
      <w:pPr>
        <w:pStyle w:val="Heading1"/>
        <w:spacing w:after="0"/>
        <w:ind w:left="115"/>
      </w:pPr>
      <w:r>
        <w:t>What this means in practice (worked examples)</w:t>
      </w:r>
    </w:p>
    <w:tbl>
      <w:tblPr>
        <w:tblStyle w:val="TableGrid"/>
        <w:tblW w:w="10488" w:type="dxa"/>
        <w:tblInd w:w="-312" w:type="dxa"/>
        <w:shd w:val="clear" w:color="auto" w:fill="DAE9F7" w:themeFill="text2" w:themeFillTint="1A"/>
        <w:tblCellMar>
          <w:top w:w="131" w:type="dxa"/>
          <w:left w:w="120" w:type="dxa"/>
          <w:bottom w:w="0" w:type="dxa"/>
          <w:right w:w="115" w:type="dxa"/>
        </w:tblCellMar>
        <w:tblLook w:val="04A0" w:firstRow="1" w:lastRow="0" w:firstColumn="1" w:lastColumn="0" w:noHBand="0" w:noVBand="1"/>
      </w:tblPr>
      <w:tblGrid>
        <w:gridCol w:w="3118"/>
        <w:gridCol w:w="5953"/>
        <w:gridCol w:w="1417"/>
      </w:tblGrid>
      <w:tr w:rsidR="00753B4B" w14:paraId="09D36383" w14:textId="77777777" w:rsidTr="002F2113">
        <w:trPr>
          <w:trHeight w:val="400"/>
        </w:trPr>
        <w:tc>
          <w:tcPr>
            <w:tcW w:w="3118" w:type="dxa"/>
            <w:tcBorders>
              <w:top w:val="single" w:sz="4" w:space="0" w:color="808080"/>
              <w:left w:val="single" w:sz="4" w:space="0" w:color="808080"/>
              <w:bottom w:val="single" w:sz="4" w:space="0" w:color="808080"/>
              <w:right w:val="single" w:sz="4" w:space="0" w:color="808080"/>
            </w:tcBorders>
            <w:shd w:val="clear" w:color="auto" w:fill="DAE9F7" w:themeFill="text2" w:themeFillTint="1A"/>
            <w:vAlign w:val="center"/>
          </w:tcPr>
          <w:p w14:paraId="4B6A0165" w14:textId="77777777" w:rsidR="00753B4B" w:rsidRDefault="002F2113">
            <w:pPr>
              <w:spacing w:after="0" w:line="259" w:lineRule="auto"/>
              <w:ind w:left="0" w:right="0" w:firstLine="0"/>
            </w:pPr>
            <w:r>
              <w:rPr>
                <w:b/>
                <w:color w:val="808080"/>
                <w:sz w:val="18"/>
              </w:rPr>
              <w:t>Scenario</w:t>
            </w:r>
          </w:p>
        </w:tc>
        <w:tc>
          <w:tcPr>
            <w:tcW w:w="5953" w:type="dxa"/>
            <w:tcBorders>
              <w:top w:val="single" w:sz="4" w:space="0" w:color="808080"/>
              <w:left w:val="single" w:sz="4" w:space="0" w:color="808080"/>
              <w:bottom w:val="single" w:sz="4" w:space="0" w:color="808080"/>
              <w:right w:val="single" w:sz="4" w:space="0" w:color="808080"/>
            </w:tcBorders>
            <w:shd w:val="clear" w:color="auto" w:fill="DAE9F7" w:themeFill="text2" w:themeFillTint="1A"/>
            <w:vAlign w:val="center"/>
          </w:tcPr>
          <w:p w14:paraId="3CC46AC4" w14:textId="77777777" w:rsidR="00753B4B" w:rsidRDefault="002F2113">
            <w:pPr>
              <w:spacing w:after="0" w:line="259" w:lineRule="auto"/>
              <w:ind w:left="0" w:right="0" w:firstLine="0"/>
            </w:pPr>
            <w:r>
              <w:rPr>
                <w:b/>
                <w:color w:val="808080"/>
                <w:sz w:val="18"/>
              </w:rPr>
              <w:t>How the charges are made up (example)</w:t>
            </w:r>
          </w:p>
        </w:tc>
        <w:tc>
          <w:tcPr>
            <w:tcW w:w="1417" w:type="dxa"/>
            <w:tcBorders>
              <w:top w:val="single" w:sz="4" w:space="0" w:color="808080"/>
              <w:left w:val="single" w:sz="4" w:space="0" w:color="808080"/>
              <w:bottom w:val="single" w:sz="4" w:space="0" w:color="808080"/>
              <w:right w:val="single" w:sz="4" w:space="0" w:color="808080"/>
            </w:tcBorders>
            <w:shd w:val="clear" w:color="auto" w:fill="DAE9F7" w:themeFill="text2" w:themeFillTint="1A"/>
            <w:vAlign w:val="center"/>
          </w:tcPr>
          <w:p w14:paraId="5640AA55" w14:textId="77777777" w:rsidR="00753B4B" w:rsidRDefault="002F2113">
            <w:pPr>
              <w:spacing w:after="0" w:line="259" w:lineRule="auto"/>
              <w:ind w:left="0" w:right="0" w:firstLine="0"/>
            </w:pPr>
            <w:r>
              <w:rPr>
                <w:b/>
                <w:color w:val="808080"/>
                <w:sz w:val="18"/>
              </w:rPr>
              <w:t>Total to pay</w:t>
            </w:r>
          </w:p>
        </w:tc>
      </w:tr>
      <w:tr w:rsidR="00753B4B" w14:paraId="1C0AEA0E" w14:textId="77777777" w:rsidTr="002F2113">
        <w:trPr>
          <w:trHeight w:val="720"/>
        </w:trPr>
        <w:tc>
          <w:tcPr>
            <w:tcW w:w="31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0D9D49E5" w14:textId="77777777" w:rsidR="00753B4B" w:rsidRDefault="002F2113">
            <w:pPr>
              <w:spacing w:after="0" w:line="259" w:lineRule="auto"/>
              <w:ind w:left="0" w:right="0" w:firstLine="0"/>
            </w:pPr>
            <w:r>
              <w:t>Room / absentee (typical)</w:t>
            </w:r>
          </w:p>
        </w:tc>
        <w:tc>
          <w:tcPr>
            <w:tcW w:w="595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289D99" w14:textId="77777777" w:rsidR="00753B4B" w:rsidRDefault="002F2113">
            <w:pPr>
              <w:spacing w:after="0" w:line="259" w:lineRule="auto"/>
              <w:ind w:left="0" w:right="0" w:firstLine="0"/>
            </w:pPr>
            <w:r>
              <w:t>Hammer £100.00 + buyer’s premium 25% (£25.00) + VAT on premium at 20% (£5.00).</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3F32D465" w14:textId="77777777" w:rsidR="00753B4B" w:rsidRDefault="002F2113">
            <w:pPr>
              <w:spacing w:after="0" w:line="259" w:lineRule="auto"/>
              <w:ind w:left="0" w:right="0" w:firstLine="0"/>
            </w:pPr>
            <w:r>
              <w:t>£130.00</w:t>
            </w:r>
          </w:p>
        </w:tc>
      </w:tr>
      <w:tr w:rsidR="00753B4B" w14:paraId="7488EB0D" w14:textId="77777777" w:rsidTr="002F2113">
        <w:trPr>
          <w:trHeight w:val="1000"/>
        </w:trPr>
        <w:tc>
          <w:tcPr>
            <w:tcW w:w="31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69C1D9E0" w14:textId="77777777" w:rsidR="00753B4B" w:rsidRDefault="002F2113">
            <w:pPr>
              <w:spacing w:after="19" w:line="259" w:lineRule="auto"/>
              <w:ind w:left="0" w:right="0" w:firstLine="0"/>
            </w:pPr>
            <w:r>
              <w:t>Online (example incl. Easy</w:t>
            </w:r>
          </w:p>
          <w:p w14:paraId="4CD04875" w14:textId="77777777" w:rsidR="00753B4B" w:rsidRDefault="002F2113">
            <w:pPr>
              <w:spacing w:after="0" w:line="259" w:lineRule="auto"/>
              <w:ind w:left="0" w:right="0" w:firstLine="0"/>
            </w:pPr>
            <w:r>
              <w:t>Live charge)</w:t>
            </w:r>
          </w:p>
        </w:tc>
        <w:tc>
          <w:tcPr>
            <w:tcW w:w="595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D78816D" w14:textId="77777777" w:rsidR="00753B4B" w:rsidRDefault="002F2113">
            <w:pPr>
              <w:spacing w:after="0" w:line="259" w:lineRule="auto"/>
              <w:ind w:left="0" w:right="0" w:firstLine="0"/>
            </w:pPr>
            <w:r>
              <w:t>Hammer £100.00 + buyer’s premium 25% (£25.00) + VAT on premium at 20% (£5.00) + Easy Live charge 3% plus VAT (£3.60).</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0A1308" w14:textId="77777777" w:rsidR="00753B4B" w:rsidRDefault="002F2113">
            <w:pPr>
              <w:spacing w:after="0" w:line="259" w:lineRule="auto"/>
              <w:ind w:left="0" w:right="0" w:firstLine="0"/>
            </w:pPr>
            <w:r>
              <w:t>£133.60</w:t>
            </w:r>
          </w:p>
        </w:tc>
      </w:tr>
      <w:tr w:rsidR="00753B4B" w14:paraId="7940639B" w14:textId="77777777" w:rsidTr="002F2113">
        <w:trPr>
          <w:trHeight w:val="1280"/>
        </w:trPr>
        <w:tc>
          <w:tcPr>
            <w:tcW w:w="3118"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43AE470F" w14:textId="77777777" w:rsidR="00753B4B" w:rsidRDefault="002F2113">
            <w:pPr>
              <w:spacing w:after="0" w:line="259" w:lineRule="auto"/>
              <w:ind w:left="0" w:right="0" w:firstLine="0"/>
            </w:pPr>
            <w:r>
              <w:t>Trade Sale</w:t>
            </w:r>
          </w:p>
        </w:tc>
        <w:tc>
          <w:tcPr>
            <w:tcW w:w="5953" w:type="dxa"/>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FE8F5AD" w14:textId="77777777" w:rsidR="00753B4B" w:rsidRDefault="002F2113">
            <w:pPr>
              <w:spacing w:after="0" w:line="259" w:lineRule="auto"/>
              <w:ind w:left="0" w:right="0" w:firstLine="0"/>
            </w:pPr>
            <w:r>
              <w:t>Hammer £100.00 + VAT on hammer at 20% (£20.00) + buyer’s premium 25% (£25.00) + VAT on premium at 20% (£5.00). Trade Sale lots are always stated in the item description.</w:t>
            </w:r>
          </w:p>
        </w:tc>
        <w:tc>
          <w:tcPr>
            <w:tcW w:w="1417" w:type="dxa"/>
            <w:tcBorders>
              <w:top w:val="single" w:sz="4" w:space="0" w:color="808080"/>
              <w:left w:val="single" w:sz="4" w:space="0" w:color="808080"/>
              <w:bottom w:val="single" w:sz="4" w:space="0" w:color="808080"/>
              <w:right w:val="single" w:sz="4" w:space="0" w:color="808080"/>
            </w:tcBorders>
            <w:shd w:val="clear" w:color="auto" w:fill="FFFFFF" w:themeFill="background1"/>
          </w:tcPr>
          <w:p w14:paraId="77259E8C" w14:textId="77777777" w:rsidR="00753B4B" w:rsidRDefault="002F2113">
            <w:pPr>
              <w:spacing w:after="0" w:line="259" w:lineRule="auto"/>
              <w:ind w:left="0" w:right="0" w:firstLine="0"/>
            </w:pPr>
            <w:r>
              <w:t>£150.00</w:t>
            </w:r>
          </w:p>
        </w:tc>
      </w:tr>
    </w:tbl>
    <w:p w14:paraId="363A302A" w14:textId="77777777" w:rsidR="00753B4B" w:rsidRDefault="002F2113">
      <w:pPr>
        <w:spacing w:after="397"/>
        <w:ind w:left="115" w:right="0"/>
      </w:pPr>
      <w:r>
        <w:rPr>
          <w:color w:val="808080"/>
          <w:sz w:val="18"/>
        </w:rPr>
        <w:t>Notes: VAT rate shown is 20% for illustration. Actual VAT treatment depends on the lot and the prevailing rate at the auction date.</w:t>
      </w:r>
    </w:p>
    <w:p w14:paraId="715682A9" w14:textId="77777777" w:rsidR="00753B4B" w:rsidRDefault="002F2113">
      <w:pPr>
        <w:pStyle w:val="Heading1"/>
        <w:ind w:left="115"/>
      </w:pPr>
      <w:r>
        <w:t>Online bidding (Easy Live Auction) – extra charge</w:t>
      </w:r>
    </w:p>
    <w:p w14:paraId="1EDF9192" w14:textId="77777777" w:rsidR="00753B4B" w:rsidRDefault="002F2113">
      <w:pPr>
        <w:ind w:left="115"/>
      </w:pPr>
      <w:r>
        <w:t>If you bid online via Easy Live Auction, an additional online bidding charge applies.</w:t>
      </w:r>
    </w:p>
    <w:p w14:paraId="01E05167" w14:textId="77777777" w:rsidR="00753B4B" w:rsidRDefault="002F2113">
      <w:pPr>
        <w:ind w:left="115"/>
      </w:pPr>
      <w:r>
        <w:t>At the time this document was prepared, Easy Live offered either:</w:t>
      </w:r>
    </w:p>
    <w:p w14:paraId="159F9B36" w14:textId="77777777" w:rsidR="00753B4B" w:rsidRDefault="002F2113">
      <w:pPr>
        <w:numPr>
          <w:ilvl w:val="0"/>
          <w:numId w:val="2"/>
        </w:numPr>
        <w:ind w:hanging="132"/>
      </w:pPr>
      <w:r>
        <w:t>A flat fee of £3 plus VAT per lot, or</w:t>
      </w:r>
    </w:p>
    <w:p w14:paraId="27122257" w14:textId="77777777" w:rsidR="00753B4B" w:rsidRDefault="002F2113">
      <w:pPr>
        <w:numPr>
          <w:ilvl w:val="0"/>
          <w:numId w:val="2"/>
        </w:numPr>
        <w:ind w:hanging="132"/>
      </w:pPr>
      <w:r>
        <w:t>An additional 3% of the hammer price plus VAT.</w:t>
      </w:r>
    </w:p>
    <w:p w14:paraId="7DBC252A" w14:textId="77777777" w:rsidR="00753B4B" w:rsidRDefault="002F2113">
      <w:pPr>
        <w:spacing w:after="488"/>
        <w:ind w:left="115"/>
      </w:pPr>
      <w:r>
        <w:lastRenderedPageBreak/>
        <w:t>The option is selected at the time of registration for each auction. Easy Live Auction charges are set by the platform, may change, and should always be confirmed at the time of registration.</w:t>
      </w:r>
    </w:p>
    <w:p w14:paraId="35EAB9FD" w14:textId="77777777" w:rsidR="00753B4B" w:rsidRDefault="002F2113">
      <w:pPr>
        <w:pStyle w:val="Heading1"/>
        <w:ind w:left="115"/>
      </w:pPr>
      <w:r>
        <w:t>VAT – when it may apply</w:t>
      </w:r>
    </w:p>
    <w:p w14:paraId="08EDF0F6" w14:textId="77777777" w:rsidR="00753B4B" w:rsidRDefault="002F2113">
      <w:pPr>
        <w:spacing w:after="713"/>
        <w:ind w:left="115"/>
      </w:pPr>
      <w:r>
        <w:t xml:space="preserve">VAT is normally charged on the buyer’s premium. In some cases, VAT is also payable on the hammer price, for example where a lot is sold as a Trade Sale under a </w:t>
      </w:r>
      <w:proofErr w:type="spellStart"/>
      <w:r>
        <w:t>VATable</w:t>
      </w:r>
      <w:proofErr w:type="spellEnd"/>
      <w:r>
        <w:t xml:space="preserve"> commercial arrangement. Trade Sale lots are always clearly identified as such in the item description to avoid any confusion. If VAT is payable on the hammer price, this will be indicated in the auction information or lot listing.</w:t>
      </w:r>
    </w:p>
    <w:p w14:paraId="2B41BCE0" w14:textId="77777777" w:rsidR="00753B4B" w:rsidRDefault="002F2113">
      <w:pPr>
        <w:tabs>
          <w:tab w:val="right" w:pos="9865"/>
        </w:tabs>
        <w:spacing w:after="397"/>
        <w:ind w:left="0" w:right="0" w:firstLine="0"/>
      </w:pPr>
      <w:r>
        <w:rPr>
          <w:color w:val="808080"/>
          <w:sz w:val="18"/>
        </w:rPr>
        <w:t>Wincanton Auctions – Buyer’s Fees and Charges Explained</w:t>
      </w:r>
      <w:r>
        <w:rPr>
          <w:color w:val="808080"/>
          <w:sz w:val="18"/>
        </w:rPr>
        <w:tab/>
        <w:t>Page 1</w:t>
      </w:r>
    </w:p>
    <w:p w14:paraId="13F796FF" w14:textId="77777777" w:rsidR="00753B4B" w:rsidRDefault="002F2113">
      <w:pPr>
        <w:pStyle w:val="Heading1"/>
        <w:ind w:left="115"/>
      </w:pPr>
      <w:r>
        <w:t>Artist’s Resale Right (ARR) – when it may apply</w:t>
      </w:r>
    </w:p>
    <w:p w14:paraId="1C688244" w14:textId="77777777" w:rsidR="00753B4B" w:rsidRDefault="002F2113">
      <w:pPr>
        <w:spacing w:after="288"/>
        <w:ind w:left="115"/>
      </w:pPr>
      <w:r>
        <w:t>Artist’s Resale Right (ARR) is a statutory royalty payable on certain resales of original works of art through an auction house.</w:t>
      </w:r>
    </w:p>
    <w:p w14:paraId="705A2512" w14:textId="77777777" w:rsidR="00753B4B" w:rsidRDefault="002F2113">
      <w:pPr>
        <w:spacing w:after="288"/>
        <w:ind w:left="115"/>
      </w:pPr>
      <w:r>
        <w:t>In the UK, ARR applies when the sale price reaches or exceeds £1,000. The royalty is calculated on a sliding scale from 4% down to 0.25% and is capped at £12,500 per sale. ARR is exempt of VAT.</w:t>
      </w:r>
    </w:p>
    <w:p w14:paraId="4D4D107C" w14:textId="77777777" w:rsidR="00753B4B" w:rsidRDefault="002F2113">
      <w:pPr>
        <w:spacing w:after="488"/>
        <w:ind w:left="115"/>
      </w:pPr>
      <w:r>
        <w:t>ARR is relatively uncommon in general auctions, but where it applies it is a legal requirement and is payable by the buyer in addition to the hammer price, buyer’s premium and any VAT due.</w:t>
      </w:r>
    </w:p>
    <w:p w14:paraId="207E4316" w14:textId="77777777" w:rsidR="00753B4B" w:rsidRDefault="002F2113">
      <w:pPr>
        <w:pStyle w:val="Heading1"/>
        <w:ind w:left="115"/>
      </w:pPr>
      <w:r>
        <w:t>Where to check fees on a specific lot</w:t>
      </w:r>
    </w:p>
    <w:p w14:paraId="26E054E5" w14:textId="77777777" w:rsidR="00753B4B" w:rsidRDefault="002F2113">
      <w:pPr>
        <w:ind w:left="115"/>
      </w:pPr>
      <w:r>
        <w:t>On each online lot page, look for the ‘Additional Fees’ or ‘Fees’ section. This shows the percentage that applies for:</w:t>
      </w:r>
    </w:p>
    <w:p w14:paraId="0725ADFC" w14:textId="77777777" w:rsidR="00753B4B" w:rsidRDefault="002F2113">
      <w:pPr>
        <w:numPr>
          <w:ilvl w:val="0"/>
          <w:numId w:val="3"/>
        </w:numPr>
        <w:ind w:hanging="132"/>
      </w:pPr>
      <w:r>
        <w:t>Room and absentee bids</w:t>
      </w:r>
    </w:p>
    <w:p w14:paraId="4B905963" w14:textId="77777777" w:rsidR="00753B4B" w:rsidRDefault="002F2113">
      <w:pPr>
        <w:numPr>
          <w:ilvl w:val="0"/>
          <w:numId w:val="3"/>
        </w:numPr>
        <w:ind w:hanging="132"/>
      </w:pPr>
      <w:r>
        <w:t xml:space="preserve">Online and </w:t>
      </w:r>
      <w:proofErr w:type="spellStart"/>
      <w:r>
        <w:t>autobids</w:t>
      </w:r>
      <w:proofErr w:type="spellEnd"/>
    </w:p>
    <w:p w14:paraId="7BC217AF" w14:textId="77777777" w:rsidR="00753B4B" w:rsidRDefault="002F2113">
      <w:pPr>
        <w:numPr>
          <w:ilvl w:val="0"/>
          <w:numId w:val="3"/>
        </w:numPr>
        <w:spacing w:after="491"/>
        <w:ind w:hanging="132"/>
      </w:pPr>
      <w:r>
        <w:t>Telephone bids (where stated)</w:t>
      </w:r>
    </w:p>
    <w:p w14:paraId="601383EB" w14:textId="77777777" w:rsidR="00753B4B" w:rsidRDefault="002F2113">
      <w:pPr>
        <w:pStyle w:val="Heading1"/>
        <w:spacing w:after="0"/>
        <w:ind w:left="115"/>
      </w:pPr>
      <w:r>
        <w:t>Quick reference</w:t>
      </w:r>
    </w:p>
    <w:tbl>
      <w:tblPr>
        <w:tblStyle w:val="TableGrid"/>
        <w:tblW w:w="10488" w:type="dxa"/>
        <w:tblInd w:w="-312" w:type="dxa"/>
        <w:tblCellMar>
          <w:top w:w="0" w:type="dxa"/>
          <w:left w:w="120" w:type="dxa"/>
          <w:bottom w:w="0" w:type="dxa"/>
          <w:right w:w="115" w:type="dxa"/>
        </w:tblCellMar>
        <w:tblLook w:val="04A0" w:firstRow="1" w:lastRow="0" w:firstColumn="1" w:lastColumn="0" w:noHBand="0" w:noVBand="1"/>
      </w:tblPr>
      <w:tblGrid>
        <w:gridCol w:w="3118"/>
        <w:gridCol w:w="7370"/>
      </w:tblGrid>
      <w:tr w:rsidR="00753B4B" w14:paraId="6D49F1A5" w14:textId="77777777" w:rsidTr="002F2113">
        <w:trPr>
          <w:trHeight w:val="400"/>
        </w:trPr>
        <w:tc>
          <w:tcPr>
            <w:tcW w:w="3118" w:type="dxa"/>
            <w:tcBorders>
              <w:top w:val="single" w:sz="4" w:space="0" w:color="808080"/>
              <w:left w:val="single" w:sz="4" w:space="0" w:color="808080"/>
              <w:bottom w:val="single" w:sz="4" w:space="0" w:color="808080"/>
              <w:right w:val="single" w:sz="4" w:space="0" w:color="808080"/>
            </w:tcBorders>
            <w:shd w:val="clear" w:color="auto" w:fill="DAE9F7" w:themeFill="text2" w:themeFillTint="1A"/>
            <w:vAlign w:val="center"/>
          </w:tcPr>
          <w:p w14:paraId="67B8A536" w14:textId="77777777" w:rsidR="00753B4B" w:rsidRDefault="002F2113">
            <w:pPr>
              <w:spacing w:after="0" w:line="259" w:lineRule="auto"/>
              <w:ind w:left="0" w:right="0" w:firstLine="0"/>
            </w:pPr>
            <w:r>
              <w:rPr>
                <w:b/>
                <w:color w:val="808080"/>
                <w:sz w:val="18"/>
              </w:rPr>
              <w:t>Bid method</w:t>
            </w:r>
          </w:p>
        </w:tc>
        <w:tc>
          <w:tcPr>
            <w:tcW w:w="7370" w:type="dxa"/>
            <w:tcBorders>
              <w:top w:val="single" w:sz="4" w:space="0" w:color="808080"/>
              <w:left w:val="single" w:sz="4" w:space="0" w:color="808080"/>
              <w:bottom w:val="single" w:sz="4" w:space="0" w:color="808080"/>
              <w:right w:val="single" w:sz="4" w:space="0" w:color="808080"/>
            </w:tcBorders>
            <w:shd w:val="clear" w:color="auto" w:fill="DAE9F7" w:themeFill="text2" w:themeFillTint="1A"/>
            <w:vAlign w:val="center"/>
          </w:tcPr>
          <w:p w14:paraId="31A6F677" w14:textId="77777777" w:rsidR="00753B4B" w:rsidRDefault="002F2113">
            <w:pPr>
              <w:spacing w:after="0" w:line="259" w:lineRule="auto"/>
              <w:ind w:left="0" w:right="0" w:firstLine="0"/>
            </w:pPr>
            <w:r>
              <w:rPr>
                <w:b/>
                <w:color w:val="808080"/>
                <w:sz w:val="18"/>
              </w:rPr>
              <w:t>Typical fees shown on many Wincanton lot pages</w:t>
            </w:r>
          </w:p>
        </w:tc>
      </w:tr>
      <w:tr w:rsidR="00753B4B" w14:paraId="3990E2BD" w14:textId="77777777">
        <w:trPr>
          <w:trHeight w:val="440"/>
        </w:trPr>
        <w:tc>
          <w:tcPr>
            <w:tcW w:w="3118" w:type="dxa"/>
            <w:tcBorders>
              <w:top w:val="single" w:sz="4" w:space="0" w:color="808080"/>
              <w:left w:val="single" w:sz="4" w:space="0" w:color="808080"/>
              <w:bottom w:val="single" w:sz="4" w:space="0" w:color="808080"/>
              <w:right w:val="single" w:sz="4" w:space="0" w:color="808080"/>
            </w:tcBorders>
            <w:vAlign w:val="center"/>
          </w:tcPr>
          <w:p w14:paraId="48C82C8B" w14:textId="77777777" w:rsidR="00753B4B" w:rsidRDefault="002F2113">
            <w:pPr>
              <w:spacing w:after="0" w:line="259" w:lineRule="auto"/>
              <w:ind w:left="0" w:right="0" w:firstLine="0"/>
            </w:pPr>
            <w:r>
              <w:t>Room and absentee bids</w:t>
            </w:r>
          </w:p>
        </w:tc>
        <w:tc>
          <w:tcPr>
            <w:tcW w:w="7370" w:type="dxa"/>
            <w:tcBorders>
              <w:top w:val="single" w:sz="4" w:space="0" w:color="808080"/>
              <w:left w:val="single" w:sz="4" w:space="0" w:color="808080"/>
              <w:bottom w:val="single" w:sz="4" w:space="0" w:color="808080"/>
              <w:right w:val="single" w:sz="4" w:space="0" w:color="808080"/>
            </w:tcBorders>
            <w:vAlign w:val="center"/>
          </w:tcPr>
          <w:p w14:paraId="4261B606" w14:textId="77777777" w:rsidR="00753B4B" w:rsidRDefault="002F2113">
            <w:pPr>
              <w:spacing w:after="0" w:line="259" w:lineRule="auto"/>
              <w:ind w:left="0" w:right="0" w:firstLine="0"/>
            </w:pPr>
            <w:r>
              <w:t xml:space="preserve">30% </w:t>
            </w:r>
            <w:proofErr w:type="spellStart"/>
            <w:r>
              <w:t>inc</w:t>
            </w:r>
            <w:proofErr w:type="spellEnd"/>
            <w:r>
              <w:t xml:space="preserve"> VAT*</w:t>
            </w:r>
          </w:p>
        </w:tc>
      </w:tr>
      <w:tr w:rsidR="00753B4B" w14:paraId="2D5C3679" w14:textId="77777777">
        <w:trPr>
          <w:trHeight w:val="440"/>
        </w:trPr>
        <w:tc>
          <w:tcPr>
            <w:tcW w:w="3118" w:type="dxa"/>
            <w:tcBorders>
              <w:top w:val="single" w:sz="4" w:space="0" w:color="808080"/>
              <w:left w:val="single" w:sz="4" w:space="0" w:color="808080"/>
              <w:bottom w:val="single" w:sz="4" w:space="0" w:color="808080"/>
              <w:right w:val="single" w:sz="4" w:space="0" w:color="808080"/>
            </w:tcBorders>
            <w:vAlign w:val="center"/>
          </w:tcPr>
          <w:p w14:paraId="06574F58" w14:textId="77777777" w:rsidR="00753B4B" w:rsidRDefault="002F2113">
            <w:pPr>
              <w:spacing w:after="0" w:line="259" w:lineRule="auto"/>
              <w:ind w:left="0" w:right="0" w:firstLine="0"/>
            </w:pPr>
            <w:r>
              <w:t xml:space="preserve">Online and </w:t>
            </w:r>
            <w:proofErr w:type="spellStart"/>
            <w:r>
              <w:t>autobids</w:t>
            </w:r>
            <w:proofErr w:type="spellEnd"/>
          </w:p>
        </w:tc>
        <w:tc>
          <w:tcPr>
            <w:tcW w:w="7370" w:type="dxa"/>
            <w:tcBorders>
              <w:top w:val="single" w:sz="4" w:space="0" w:color="808080"/>
              <w:left w:val="single" w:sz="4" w:space="0" w:color="808080"/>
              <w:bottom w:val="single" w:sz="4" w:space="0" w:color="808080"/>
              <w:right w:val="single" w:sz="4" w:space="0" w:color="808080"/>
            </w:tcBorders>
            <w:vAlign w:val="center"/>
          </w:tcPr>
          <w:p w14:paraId="5E8B9EE9" w14:textId="77777777" w:rsidR="00753B4B" w:rsidRDefault="002F2113">
            <w:pPr>
              <w:spacing w:after="0" w:line="259" w:lineRule="auto"/>
              <w:ind w:left="0" w:right="0" w:firstLine="0"/>
            </w:pPr>
            <w:r>
              <w:t xml:space="preserve">33.6% </w:t>
            </w:r>
            <w:proofErr w:type="spellStart"/>
            <w:r>
              <w:t>inc</w:t>
            </w:r>
            <w:proofErr w:type="spellEnd"/>
            <w:r>
              <w:t xml:space="preserve"> VAT*</w:t>
            </w:r>
          </w:p>
        </w:tc>
      </w:tr>
      <w:tr w:rsidR="00753B4B" w14:paraId="1E111078" w14:textId="77777777">
        <w:trPr>
          <w:trHeight w:val="440"/>
        </w:trPr>
        <w:tc>
          <w:tcPr>
            <w:tcW w:w="3118" w:type="dxa"/>
            <w:tcBorders>
              <w:top w:val="single" w:sz="4" w:space="0" w:color="808080"/>
              <w:left w:val="single" w:sz="4" w:space="0" w:color="808080"/>
              <w:bottom w:val="single" w:sz="4" w:space="0" w:color="808080"/>
              <w:right w:val="single" w:sz="4" w:space="0" w:color="808080"/>
            </w:tcBorders>
            <w:vAlign w:val="center"/>
          </w:tcPr>
          <w:p w14:paraId="45A29407" w14:textId="77777777" w:rsidR="00753B4B" w:rsidRDefault="002F2113">
            <w:pPr>
              <w:spacing w:after="0" w:line="259" w:lineRule="auto"/>
              <w:ind w:left="0" w:right="0" w:firstLine="0"/>
            </w:pPr>
            <w:r>
              <w:t>Telephone bids</w:t>
            </w:r>
          </w:p>
        </w:tc>
        <w:tc>
          <w:tcPr>
            <w:tcW w:w="7370" w:type="dxa"/>
            <w:tcBorders>
              <w:top w:val="single" w:sz="4" w:space="0" w:color="808080"/>
              <w:left w:val="single" w:sz="4" w:space="0" w:color="808080"/>
              <w:bottom w:val="single" w:sz="4" w:space="0" w:color="808080"/>
              <w:right w:val="single" w:sz="4" w:space="0" w:color="808080"/>
            </w:tcBorders>
            <w:vAlign w:val="center"/>
          </w:tcPr>
          <w:p w14:paraId="0915A2BE" w14:textId="77777777" w:rsidR="00753B4B" w:rsidRDefault="002F2113">
            <w:pPr>
              <w:spacing w:after="0" w:line="259" w:lineRule="auto"/>
              <w:ind w:left="0" w:right="0" w:firstLine="0"/>
            </w:pPr>
            <w:r>
              <w:t xml:space="preserve">33.6% </w:t>
            </w:r>
            <w:proofErr w:type="spellStart"/>
            <w:r>
              <w:t>inc</w:t>
            </w:r>
            <w:proofErr w:type="spellEnd"/>
            <w:r>
              <w:t xml:space="preserve"> VAT*</w:t>
            </w:r>
          </w:p>
        </w:tc>
      </w:tr>
    </w:tbl>
    <w:p w14:paraId="0FB17CFA" w14:textId="77777777" w:rsidR="00753B4B" w:rsidRDefault="002F2113">
      <w:pPr>
        <w:spacing w:after="6824"/>
        <w:ind w:left="115" w:right="0"/>
        <w:rPr>
          <w:color w:val="808080"/>
          <w:sz w:val="18"/>
        </w:rPr>
      </w:pPr>
      <w:r>
        <w:rPr>
          <w:color w:val="808080"/>
          <w:sz w:val="18"/>
        </w:rPr>
        <w:t>*Always check the specific lot, as fees can vary by sale type and platform.</w:t>
      </w:r>
    </w:p>
    <w:sectPr w:rsidR="00753B4B">
      <w:pgSz w:w="11906" w:h="16838"/>
      <w:pgMar w:top="1211" w:right="1020" w:bottom="643"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5DCE"/>
    <w:multiLevelType w:val="hybridMultilevel"/>
    <w:tmpl w:val="D5E432D4"/>
    <w:lvl w:ilvl="0" w:tplc="6D32ADD2">
      <w:start w:val="1"/>
      <w:numFmt w:val="bullet"/>
      <w:lvlText w:val="•"/>
      <w:lvlJc w:val="left"/>
      <w:pPr>
        <w:ind w:left="2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0AA916">
      <w:start w:val="1"/>
      <w:numFmt w:val="bullet"/>
      <w:lvlText w:val="o"/>
      <w:lvlJc w:val="left"/>
      <w:pPr>
        <w:ind w:left="13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93E73FA">
      <w:start w:val="1"/>
      <w:numFmt w:val="bullet"/>
      <w:lvlText w:val="▪"/>
      <w:lvlJc w:val="left"/>
      <w:pPr>
        <w:ind w:left="20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6B2094A">
      <w:start w:val="1"/>
      <w:numFmt w:val="bullet"/>
      <w:lvlText w:val="•"/>
      <w:lvlJc w:val="left"/>
      <w:pPr>
        <w:ind w:left="27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55EAD48">
      <w:start w:val="1"/>
      <w:numFmt w:val="bullet"/>
      <w:lvlText w:val="o"/>
      <w:lvlJc w:val="left"/>
      <w:pPr>
        <w:ind w:left="3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44862920">
      <w:start w:val="1"/>
      <w:numFmt w:val="bullet"/>
      <w:lvlText w:val="▪"/>
      <w:lvlJc w:val="left"/>
      <w:pPr>
        <w:ind w:left="41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306E68C">
      <w:start w:val="1"/>
      <w:numFmt w:val="bullet"/>
      <w:lvlText w:val="•"/>
      <w:lvlJc w:val="left"/>
      <w:pPr>
        <w:ind w:left="49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DEECACA">
      <w:start w:val="1"/>
      <w:numFmt w:val="bullet"/>
      <w:lvlText w:val="o"/>
      <w:lvlJc w:val="left"/>
      <w:pPr>
        <w:ind w:left="56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22680F0">
      <w:start w:val="1"/>
      <w:numFmt w:val="bullet"/>
      <w:lvlText w:val="▪"/>
      <w:lvlJc w:val="left"/>
      <w:pPr>
        <w:ind w:left="63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EE1538"/>
    <w:multiLevelType w:val="hybridMultilevel"/>
    <w:tmpl w:val="537ADFAE"/>
    <w:lvl w:ilvl="0" w:tplc="AA04D546">
      <w:start w:val="1"/>
      <w:numFmt w:val="bullet"/>
      <w:lvlText w:val="•"/>
      <w:lvlJc w:val="left"/>
      <w:pPr>
        <w:ind w:left="2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AECF22C">
      <w:start w:val="1"/>
      <w:numFmt w:val="bullet"/>
      <w:lvlText w:val="o"/>
      <w:lvlJc w:val="left"/>
      <w:pPr>
        <w:ind w:left="13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338B4F2">
      <w:start w:val="1"/>
      <w:numFmt w:val="bullet"/>
      <w:lvlText w:val="▪"/>
      <w:lvlJc w:val="left"/>
      <w:pPr>
        <w:ind w:left="20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18865364">
      <w:start w:val="1"/>
      <w:numFmt w:val="bullet"/>
      <w:lvlText w:val="•"/>
      <w:lvlJc w:val="left"/>
      <w:pPr>
        <w:ind w:left="27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F0C5156">
      <w:start w:val="1"/>
      <w:numFmt w:val="bullet"/>
      <w:lvlText w:val="o"/>
      <w:lvlJc w:val="left"/>
      <w:pPr>
        <w:ind w:left="3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CAE0E34">
      <w:start w:val="1"/>
      <w:numFmt w:val="bullet"/>
      <w:lvlText w:val="▪"/>
      <w:lvlJc w:val="left"/>
      <w:pPr>
        <w:ind w:left="41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E5AC0BE">
      <w:start w:val="1"/>
      <w:numFmt w:val="bullet"/>
      <w:lvlText w:val="•"/>
      <w:lvlJc w:val="left"/>
      <w:pPr>
        <w:ind w:left="49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1B61530">
      <w:start w:val="1"/>
      <w:numFmt w:val="bullet"/>
      <w:lvlText w:val="o"/>
      <w:lvlJc w:val="left"/>
      <w:pPr>
        <w:ind w:left="56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1AC25FC">
      <w:start w:val="1"/>
      <w:numFmt w:val="bullet"/>
      <w:lvlText w:val="▪"/>
      <w:lvlJc w:val="left"/>
      <w:pPr>
        <w:ind w:left="63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2A12C22"/>
    <w:multiLevelType w:val="hybridMultilevel"/>
    <w:tmpl w:val="86C013C2"/>
    <w:lvl w:ilvl="0" w:tplc="49C44E90">
      <w:start w:val="1"/>
      <w:numFmt w:val="bullet"/>
      <w:lvlText w:val="•"/>
      <w:lvlJc w:val="left"/>
      <w:pPr>
        <w:ind w:left="2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BF08FFE">
      <w:start w:val="1"/>
      <w:numFmt w:val="bullet"/>
      <w:lvlText w:val="o"/>
      <w:lvlJc w:val="left"/>
      <w:pPr>
        <w:ind w:left="13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5D2655E">
      <w:start w:val="1"/>
      <w:numFmt w:val="bullet"/>
      <w:lvlText w:val="▪"/>
      <w:lvlJc w:val="left"/>
      <w:pPr>
        <w:ind w:left="20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CE68DEC">
      <w:start w:val="1"/>
      <w:numFmt w:val="bullet"/>
      <w:lvlText w:val="•"/>
      <w:lvlJc w:val="left"/>
      <w:pPr>
        <w:ind w:left="27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AB6C8E0">
      <w:start w:val="1"/>
      <w:numFmt w:val="bullet"/>
      <w:lvlText w:val="o"/>
      <w:lvlJc w:val="left"/>
      <w:pPr>
        <w:ind w:left="347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0AA591A">
      <w:start w:val="1"/>
      <w:numFmt w:val="bullet"/>
      <w:lvlText w:val="▪"/>
      <w:lvlJc w:val="left"/>
      <w:pPr>
        <w:ind w:left="419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6540F24">
      <w:start w:val="1"/>
      <w:numFmt w:val="bullet"/>
      <w:lvlText w:val="•"/>
      <w:lvlJc w:val="left"/>
      <w:pPr>
        <w:ind w:left="491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A28A0DC">
      <w:start w:val="1"/>
      <w:numFmt w:val="bullet"/>
      <w:lvlText w:val="o"/>
      <w:lvlJc w:val="left"/>
      <w:pPr>
        <w:ind w:left="563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76662B0">
      <w:start w:val="1"/>
      <w:numFmt w:val="bullet"/>
      <w:lvlText w:val="▪"/>
      <w:lvlJc w:val="left"/>
      <w:pPr>
        <w:ind w:left="63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1795832358">
    <w:abstractNumId w:val="0"/>
  </w:num>
  <w:num w:numId="2" w16cid:durableId="132719273">
    <w:abstractNumId w:val="2"/>
  </w:num>
  <w:num w:numId="3" w16cid:durableId="120371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B4B"/>
    <w:rsid w:val="002F2113"/>
    <w:rsid w:val="00753B4B"/>
    <w:rsid w:val="00F31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C7F4A"/>
  <w15:docId w15:val="{49CE6168-CD7C-4501-98EB-DA1018FB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69" w:lineRule="auto"/>
      <w:ind w:left="130" w:righ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90" w:line="259" w:lineRule="auto"/>
      <w:ind w:left="130" w:hanging="10"/>
      <w:outlineLvl w:val="0"/>
    </w:pPr>
    <w:rPr>
      <w:rFonts w:ascii="Arial" w:eastAsia="Arial" w:hAnsi="Arial" w:cs="Arial"/>
      <w:b/>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(anonymous)</dc:title>
  <dc:subject>(unspecified)</dc:subject>
  <dc:creator>(anonymous)</dc:creator>
  <cp:keywords/>
  <cp:lastModifiedBy>Duncan Wills</cp:lastModifiedBy>
  <cp:revision>2</cp:revision>
  <dcterms:created xsi:type="dcterms:W3CDTF">2026-01-09T04:28:00Z</dcterms:created>
  <dcterms:modified xsi:type="dcterms:W3CDTF">2026-01-09T04:28:00Z</dcterms:modified>
</cp:coreProperties>
</file>